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浦东频道“频道年度形象片整体包装委托制作”招标会评分表</w:t>
      </w:r>
    </w:p>
    <w:tbl>
      <w:tblPr>
        <w:tblStyle w:val="4"/>
        <w:tblpPr w:leftFromText="180" w:rightFromText="180" w:vertAnchor="text" w:horzAnchor="margin" w:tblpY="175"/>
        <w:tblOverlap w:val="never"/>
        <w:tblW w:w="141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第1家名称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第2家名称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第3家名称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</w:t>
            </w:r>
            <w:r>
              <w:rPr>
                <w:rFonts w:hint="eastAsia"/>
                <w:sz w:val="18"/>
                <w:szCs w:val="18"/>
                <w:lang w:eastAsia="zh-CN"/>
              </w:rPr>
              <w:t>必须</w:t>
            </w:r>
            <w:r>
              <w:rPr>
                <w:rFonts w:hint="eastAsia"/>
                <w:sz w:val="18"/>
                <w:szCs w:val="18"/>
              </w:rPr>
              <w:t>持有《广播电视节目制作经营许可证》或经过国家广电总局认证的电视节目制作播出机构）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注册资金50万及以上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注册资金30万-50万（不含50万）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注册资金10万-30万（不含30万）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注册资金0万-10万（不含10万）  不得分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对项目的目标和诉求具有清晰、准确的理解（6分）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对项目有完整而合理的实施方案（9分）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有丰富的版权清晰的素材库（6分）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代表作品具有创意，形象片作品在业内有一定的知名度（10分）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有超过3个以上类似项目成功经历（10分）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％以内得20分，每上升1％扣减1分，每下降1％扣减0.5分。</w:t>
            </w: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 w:firstLine="7875" w:firstLineChars="3750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>
      <w:pgSz w:w="16838" w:h="11906" w:orient="landscape"/>
      <w:pgMar w:top="99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7683"/>
    <w:rsid w:val="00F022AF"/>
    <w:rsid w:val="00F4265B"/>
    <w:rsid w:val="00F90CDC"/>
    <w:rsid w:val="00FD1419"/>
    <w:rsid w:val="00FE266A"/>
    <w:rsid w:val="07FA0B02"/>
    <w:rsid w:val="0CC374EC"/>
    <w:rsid w:val="15ED0562"/>
    <w:rsid w:val="17FA0D84"/>
    <w:rsid w:val="1BBF371E"/>
    <w:rsid w:val="260269E9"/>
    <w:rsid w:val="2C2F19FC"/>
    <w:rsid w:val="322B728D"/>
    <w:rsid w:val="37CF4DF7"/>
    <w:rsid w:val="5D5515AD"/>
    <w:rsid w:val="60217C34"/>
    <w:rsid w:val="7EA1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hp</cp:lastModifiedBy>
  <cp:lastPrinted>2018-04-26T02:59:00Z</cp:lastPrinted>
  <dcterms:modified xsi:type="dcterms:W3CDTF">2019-07-04T06:38:17Z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